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64" w:rsidRDefault="00090F64">
      <w:pPr>
        <w:spacing w:after="150" w:line="240" w:lineRule="auto"/>
        <w:ind w:right="150"/>
      </w:pPr>
    </w:p>
    <w:p w:rsidR="00090F64" w:rsidRDefault="00090F64">
      <w:pPr>
        <w:spacing w:after="0" w:line="240" w:lineRule="auto"/>
      </w:pPr>
    </w:p>
    <w:p w:rsidR="00090F64" w:rsidRDefault="00316C99">
      <w:pPr>
        <w:pStyle w:val="Nadpis1"/>
        <w:spacing w:before="161" w:after="161" w:line="240" w:lineRule="auto"/>
        <w:ind w:right="975"/>
        <w:jc w:val="center"/>
      </w:pPr>
      <w:r>
        <w:rPr>
          <w:rFonts w:ascii="Times" w:eastAsia="Times" w:hAnsi="Times" w:cs="Times"/>
          <w:color w:val="000000"/>
          <w:sz w:val="26"/>
          <w:szCs w:val="26"/>
        </w:rPr>
        <w:t>LICENČNÁ ZMLUVA</w:t>
      </w:r>
    </w:p>
    <w:p w:rsidR="00090F64" w:rsidRDefault="00316C99">
      <w:pPr>
        <w:spacing w:before="269" w:after="269" w:line="240" w:lineRule="auto"/>
        <w:jc w:val="center"/>
      </w:pPr>
      <w:r>
        <w:rPr>
          <w:rFonts w:ascii="Times" w:eastAsia="Times" w:hAnsi="Times" w:cs="Times"/>
          <w:i/>
          <w:iCs/>
          <w:color w:val="000000"/>
          <w:sz w:val="19"/>
          <w:szCs w:val="19"/>
        </w:rPr>
        <w:t>uzavretá podľa § 65 a nasl. zákona č. 185/2015 Z. z. Autorský zákon medzi zmluvnými stranami</w:t>
      </w:r>
    </w:p>
    <w:p w:rsidR="00090F64" w:rsidRDefault="00090F64">
      <w:pPr>
        <w:spacing w:after="0" w:line="240" w:lineRule="auto"/>
      </w:pP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Zmluvné strany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>1.1</w:t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Autor:</w:t>
      </w:r>
    </w:p>
    <w:p w:rsidR="00090F64" w:rsidRDefault="00316C99">
      <w:pPr>
        <w:spacing w:after="0" w:line="240" w:lineRule="auto"/>
      </w:pPr>
      <w:r>
        <w:br/>
      </w:r>
    </w:p>
    <w:tbl>
      <w:tblPr>
        <w:tblW w:w="0" w:type="auto"/>
        <w:tblCellSpacing w:w="20" w:type="dxa"/>
        <w:tblInd w:w="60" w:type="dxa"/>
        <w:tblCellMar>
          <w:left w:w="10" w:type="dxa"/>
          <w:right w:w="10" w:type="dxa"/>
        </w:tblCellMar>
        <w:tblLook w:val="0000"/>
      </w:tblPr>
      <w:tblGrid>
        <w:gridCol w:w="2370"/>
        <w:gridCol w:w="3180"/>
      </w:tblGrid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Obchodné meno: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eSYST, s.r.o.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M. R. Štefánika 836/33, 01001 Žilina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50139088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2120186816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IČ DPH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SK2120186816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Štatutárny orgán: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Mgr. Michal Gondžár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0907 129 077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info@esyst.sk</w:t>
            </w:r>
          </w:p>
        </w:tc>
      </w:tr>
    </w:tbl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i/>
          <w:iCs/>
          <w:color w:val="000000"/>
          <w:sz w:val="20"/>
          <w:szCs w:val="20"/>
        </w:rPr>
        <w:t>(ďalej len „Autor“)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>1.2</w:t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Nadobúdateľ:</w:t>
      </w:r>
    </w:p>
    <w:p w:rsidR="00090F64" w:rsidRDefault="00316C99">
      <w:pPr>
        <w:spacing w:after="0" w:line="240" w:lineRule="auto"/>
      </w:pPr>
      <w:r>
        <w:br/>
      </w:r>
    </w:p>
    <w:tbl>
      <w:tblPr>
        <w:tblW w:w="0" w:type="auto"/>
        <w:tblCellSpacing w:w="20" w:type="dxa"/>
        <w:tblInd w:w="60" w:type="dxa"/>
        <w:tblCellMar>
          <w:left w:w="10" w:type="dxa"/>
          <w:right w:w="10" w:type="dxa"/>
        </w:tblCellMar>
        <w:tblLook w:val="0000"/>
      </w:tblPr>
      <w:tblGrid>
        <w:gridCol w:w="2370"/>
        <w:gridCol w:w="3575"/>
      </w:tblGrid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Obchodné meno: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Obec Bobrov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Námestie sv. Jakuba 173/3, 02942 Bobrov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00314404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2020571608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Štatutárny orgán: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Mgr. Andrej Namislovský 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+421 911 808 522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Email: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starosta@obecbobrov.sk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090F64">
        <w:trPr>
          <w:cantSplit/>
          <w:tblCellSpacing w:w="20" w:type="dxa"/>
        </w:trPr>
        <w:tc>
          <w:tcPr>
            <w:tcW w:w="231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>(ďalej len „Nadobúdateľ“)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II.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Predmet zmluvy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2.1 Autor vytvoril software: </w:t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Enex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(ďalej len „Dielo“), ktorý je umiestnený na webovej stránke: www.enex.sk.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lastRenderedPageBreak/>
        <w:t>2.2 Autor udeľuje Nadobúdateľovi licenciu na použitie Diela spôsobom, v rozsahu, na čas a za odmenu, ktoré sú určené v tejto licenčnej zmluve.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2.3 Nadobúdateľ si zároveň Objednáva nasledovné doplnkové služby: </w:t>
      </w:r>
    </w:p>
    <w:p w:rsidR="00090F64" w:rsidRDefault="00316C99">
      <w:pPr>
        <w:numPr>
          <w:ilvl w:val="0"/>
          <w:numId w:val="1"/>
        </w:numPr>
        <w:spacing w:before="240" w:after="0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Jednorazová prvotná implementácia zmlúv a odberných miest do profilu Enex. Cena implementácie je dohodnutá na sumu </w:t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10,00,- EUR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bez DPH za jedno odberné miesto.</w:t>
      </w:r>
    </w:p>
    <w:p w:rsidR="00090F64" w:rsidRDefault="00316C99">
      <w:pPr>
        <w:numPr>
          <w:ilvl w:val="0"/>
          <w:numId w:val="1"/>
        </w:numPr>
        <w:spacing w:after="0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>Nadobúdateľ je povinný zaslať Autorovi potrebné dokumenty na vytvorenie profilu.</w:t>
      </w:r>
    </w:p>
    <w:p w:rsidR="00090F64" w:rsidRDefault="00090F64">
      <w:pPr>
        <w:spacing w:after="0" w:line="240" w:lineRule="auto"/>
      </w:pP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III.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Cena licencie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3.1 Nadobúdateľ sa zaväzuje uhradiť Autorovi cenu za licenciu vo výške </w:t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200 EUR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bez DPH  na obdobie 1 rok od uzatvorenia tejto zmluvy.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3.2 Autor je platcom DPH a DPH bude účtovaná v zmysle platných právnych predpisov Slovenskej republiky.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3.3 Cenu licencie bude Nadobúdateľ uhrádzať Autorovi na jeho bankový účet, uvedený v záhlaví tejto zmluvy, na základe Autorom vystavenej faktúry. Akúkoľvek zmenu svojho bankového účtu je Autor povinný bezodkladne oznámiť Nadobúdateľovi.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IV.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Dielo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4.1 Na základe tejto licenčnej zmluvy Autor udeľuje Nadobúdateľovi licenciu na použitie diela Enex. 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4.2 Autor udeľuje Nadobúdateľovi nevýhradnú licenciu na použitie Diela, spôsobom uvedeným v bode 1. tohto článku. 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V.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Rozsah licencie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5.1 Autor udeľuje Nadobúdateľovi licenciu v neobmedzenom rozsahu. 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VI.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Čas udelenia licencie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6.1 Autor udeľuje Nadobúdateľovi licenciu počas trvania tejto zmluvy. 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6.2 Licencia sa udeľuje na obdobie 12 mesiacov odo dňa vystavenia faktúry. 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6.3 Platnosť zmluvy sa automaticky predlžuje na dobu ďalších 12 mesiacov a to aj opakovane, pokiaľ niektorá zmluvná strana písomne neoznámi druhej zmluvnej strane najmenej 2 mesiace pred ukončením platnosti zmluvy, že s predĺžením platnosti zmluvy na dobu ďalších 12 mesiacov nesúhlasí. 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6.4 V prípade oznámenia o nesúhlase s predĺžením licencie, podľa bodu 3 tohto článku, zaniká platnosť zmluvy po uplynutí obdobia platnej licencie. 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lastRenderedPageBreak/>
        <w:t>Článok VII.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Ochrana osobných údajov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7.1 Sprostredkovateľ (Autor)  prehlasuje, že prijal a má zavedené primerané technické a organizačné opatrenia spĺňajúce požiadavky GDPR a Zákona na zabezpečenie ochrany práv dotknutých osôb Prevádzkovateľa (Nadobúdateľ).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7.2 Sprostredkovateľ prehlasuje, že nebude spracúvať osobné údaje na žiadne iné účely, ako je účel predmetu tejto zmluvy.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7.3 Sprostredkovateľ prehlasuje, že jeho zamestnanci - osoby konajúce za Sprostredkovateľa, ktoré spracúvajú osobné údaje, sú riadne písomne poverené a zaviazané mlčanlivosťou, a to aj po skončení pracovného pomeru v zmysle § 79 Zákona.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7.4 Sprostredkovateľ prehlasuje, že osobitné kategórie osobných údajov podľa čl. 9 ods. 2, písm. GDPR spracúva v zmysle čl. 9 ods. 3 GDPR.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7.5 Sprostredkovateľ prehlasuje, že zabezpečí bezpečnosť údajov podľa čl. 28 odsek 3c a čl. 32 GDPR, najmä v súvislosti s čl. 5, ods. 1 a 2 GDPR.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7.6 Sprostredkovateľ prehlasuje, že nebude v žiadnom prípade vykonávať prenos osobných údajov žiadnej tretej strane, okrem ďalších sprostredkovateľov, vopred písomne odsúhlasených Prevádzkovateľom.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7.7 Sprostredkovateľ prehlasuje, že nebude v žiadnom prípade uskutočňovať prenos osobných údajov poskytnutých Prevádzkovateľom do tretích krajín.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7.8 Sprostredkovateľ môže osobné údaje poskytnúť štátnym orgánom a inštitúciám, ak to vyžaduje osobitný predpis. Pred takýmto poskytnutím osobných údajov je Sprostredkovateľ povinný Prevádzkovateľa o tomto zamýšľanom poskytnutí informovať.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7.9 Sprostredkovateľ sa zaväzuje, že bude Prevádzkovateľovi oznamovať všetky porušenia ochrany osobných údajov, ktoré u neho vzniknú a môžu mať dopad na osobné údaje Prevádzkovateľa. Tieto skutočnosti je Sprostredkovateľ povinný bezodkladne oznámiť Prevádzkovateľovi, najneskôr však v lehote do 3 dní od ich vzniku alebo zistenia.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>7.10 Sprostredkovateľ umožní zodpovednej osobe Prevádzkovateľa nezávislý výkon dohľadu nad ochranou osobných údajov, podľa § 46 Zákona a článku 39 GDPR, v medziach spracúvaných osobných údajov dotknutých osôb prevádzkovateľa, ak takáto osoba bola Prevádzkovateľom poverená.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VIII.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Práva a povinnosti zmluvných strán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8.1 Nadobúdateľ môže licenciu, udelenú Autorom na základe tejto Licenčnej zmluvy, postúpiť zmluvou len s predchádzajúcim písomným súhlasom Autora. </w:t>
      </w:r>
    </w:p>
    <w:p w:rsidR="00090F64" w:rsidRDefault="00316C99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8.2 Nadobúdateľ sa zaväzuje pri používaní Diela dodržiavať Všeobecné obchodné podmienky Autora, ktoré sú uverejnené na webovej stránke Autora na stránke www.prolex.sk. </w:t>
      </w:r>
    </w:p>
    <w:p w:rsidR="00090F64" w:rsidRDefault="00090F64">
      <w:pPr>
        <w:spacing w:after="0" w:line="240" w:lineRule="auto"/>
      </w:pPr>
    </w:p>
    <w:p w:rsidR="00090F64" w:rsidRDefault="00316C99">
      <w:pPr>
        <w:pStyle w:val="Nadpis2"/>
        <w:spacing w:before="180" w:after="180" w:line="240" w:lineRule="auto"/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Článok IX.</w:t>
      </w:r>
      <w:r>
        <w:br/>
      </w:r>
      <w:r>
        <w:rPr>
          <w:rFonts w:ascii="Times" w:eastAsia="Times" w:hAnsi="Times" w:cs="Times"/>
          <w:color w:val="000000"/>
          <w:sz w:val="22"/>
          <w:szCs w:val="22"/>
        </w:rPr>
        <w:t>Zaverečné ustanovenia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9.1 Zmluva nadobúda platnosť dňom jej podpisu oboma zmluvnými stranami a účinnosť deň nasledujúci po zverejnení v príslušnom registri. </w:t>
      </w:r>
    </w:p>
    <w:p w:rsidR="00090F64" w:rsidRDefault="00316C99">
      <w:pPr>
        <w:spacing w:before="269" w:after="269" w:line="240" w:lineRule="auto"/>
        <w:jc w:val="both"/>
      </w:pPr>
      <w:r>
        <w:rPr>
          <w:rFonts w:ascii="Times" w:eastAsia="Times" w:hAnsi="Times" w:cs="Times"/>
          <w:color w:val="000000"/>
          <w:sz w:val="20"/>
          <w:szCs w:val="20"/>
        </w:rPr>
        <w:t xml:space="preserve">9.2 Táto licenčná zmluva sa uzatvára písomne v dvoch vyhotoveniach, z ktorých jedno vyhotovenie dostane každá zo zmluvných strán. Akékoľvek zmeny alebo doplnky k tejto zmluve je možné robiť len formou písomných dodatkov k zmluve, podpísaných obidvomi zmluvnými stranami. </w:t>
      </w:r>
    </w:p>
    <w:p w:rsidR="00090F64" w:rsidRDefault="00316C99" w:rsidP="0023333A">
      <w:pPr>
        <w:spacing w:before="269" w:after="269" w:line="240" w:lineRule="auto"/>
      </w:pPr>
      <w:r>
        <w:rPr>
          <w:rFonts w:ascii="Times" w:eastAsia="Times" w:hAnsi="Times" w:cs="Times"/>
          <w:color w:val="000000"/>
          <w:sz w:val="20"/>
          <w:szCs w:val="20"/>
        </w:rPr>
        <w:lastRenderedPageBreak/>
        <w:t xml:space="preserve">9.3 Zmluvné strany vyhlasujú, že si zmluvu prečítali, jej obsahu porozumeli a uzatvárajú ju na základe slobodne a vážne prejavenej vôle, na znak čoho túto zmluvu podpisujú. </w:t>
      </w:r>
      <w:r>
        <w:br/>
      </w:r>
      <w:r>
        <w:rPr>
          <w:rFonts w:ascii="Times" w:eastAsia="Times" w:hAnsi="Times" w:cs="Times"/>
          <w:color w:val="000000"/>
          <w:sz w:val="20"/>
          <w:szCs w:val="20"/>
        </w:rPr>
        <w:t xml:space="preserve">    </w:t>
      </w:r>
    </w:p>
    <w:tbl>
      <w:tblPr>
        <w:tblW w:w="5000" w:type="pct"/>
        <w:tblCellSpacing w:w="20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23"/>
        <w:gridCol w:w="3969"/>
      </w:tblGrid>
      <w:tr w:rsidR="00090F64">
        <w:trPr>
          <w:cantSplit/>
          <w:tblCellSpacing w:w="20" w:type="dxa"/>
        </w:trPr>
        <w:tc>
          <w:tcPr>
            <w:tcW w:w="3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V Žiline, dňa 14.8.2023</w:t>
            </w:r>
          </w:p>
        </w:tc>
        <w:tc>
          <w:tcPr>
            <w:tcW w:w="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V ............................., dňa ....................</w:t>
            </w:r>
          </w:p>
        </w:tc>
      </w:tr>
    </w:tbl>
    <w:p w:rsidR="00090F64" w:rsidRDefault="00090F64">
      <w:pPr>
        <w:spacing w:after="0" w:line="14" w:lineRule="exact"/>
        <w:rPr>
          <w:sz w:val="2"/>
          <w:szCs w:val="2"/>
        </w:rPr>
      </w:pPr>
    </w:p>
    <w:tbl>
      <w:tblPr>
        <w:tblW w:w="5000" w:type="pct"/>
        <w:tblCellSpacing w:w="20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23"/>
        <w:gridCol w:w="3969"/>
      </w:tblGrid>
      <w:tr w:rsidR="00090F64">
        <w:trPr>
          <w:cantSplit/>
          <w:tblCellSpacing w:w="20" w:type="dxa"/>
        </w:trPr>
        <w:tc>
          <w:tcPr>
            <w:tcW w:w="3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  <w:jc w:val="center"/>
            </w:pP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  <w:jc w:val="center"/>
            </w:pP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..............................................</w:t>
            </w:r>
          </w:p>
        </w:tc>
      </w:tr>
      <w:tr w:rsidR="00090F64">
        <w:trPr>
          <w:cantSplit/>
          <w:tblCellSpacing w:w="20" w:type="dxa"/>
        </w:trPr>
        <w:tc>
          <w:tcPr>
            <w:tcW w:w="3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  <w:jc w:val="center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Mgr. Michal Gondžár </w:t>
            </w: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eSYST, s.r.o. </w:t>
            </w: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F64" w:rsidRDefault="00316C99">
            <w:pPr>
              <w:spacing w:after="0" w:line="240" w:lineRule="auto"/>
              <w:ind w:left="30" w:right="30"/>
              <w:jc w:val="center"/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Mgr. Andrej Namislovský </w:t>
            </w: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Obec Bobrov </w:t>
            </w:r>
            <w:r>
              <w:br/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Nadobúdateľ</w:t>
            </w:r>
          </w:p>
        </w:tc>
      </w:tr>
    </w:tbl>
    <w:p w:rsidR="00316C99" w:rsidRDefault="00316C99"/>
    <w:sectPr w:rsidR="00316C99" w:rsidSect="00090F64">
      <w:pgSz w:w="11906" w:h="16838"/>
      <w:pgMar w:top="1077" w:right="1077" w:bottom="1077" w:left="1077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F3BB0"/>
    <w:multiLevelType w:val="hybridMultilevel"/>
    <w:tmpl w:val="4F4C929C"/>
    <w:name w:val="Bullet4"/>
    <w:styleLink w:val="Bullet4"/>
    <w:lvl w:ilvl="0" w:tplc="E3221CE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3245E5E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56CDCEA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82620F2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02C08CC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008B56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30891E8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E44B46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32EFCC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090F64"/>
    <w:rsid w:val="00090F64"/>
    <w:rsid w:val="0023333A"/>
    <w:rsid w:val="00316C99"/>
    <w:rsid w:val="004719C9"/>
    <w:rsid w:val="0066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0F64"/>
  </w:style>
  <w:style w:type="paragraph" w:styleId="Nadpis1">
    <w:name w:val="heading 1"/>
    <w:basedOn w:val="Normlny"/>
    <w:qFormat/>
    <w:rsid w:val="00090F64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qFormat/>
    <w:rsid w:val="00090F64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ullet4">
    <w:name w:val="Bullet4"/>
    <w:qFormat/>
    <w:rsid w:val="00090F6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Namislovský</dc:creator>
  <cp:lastModifiedBy>Andrej Namislovský</cp:lastModifiedBy>
  <cp:revision>2</cp:revision>
  <dcterms:created xsi:type="dcterms:W3CDTF">2023-08-23T07:46:00Z</dcterms:created>
  <dcterms:modified xsi:type="dcterms:W3CDTF">2023-08-23T07:46:00Z</dcterms:modified>
</cp:coreProperties>
</file>